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D3" w:rsidRPr="00C512F1" w:rsidRDefault="006167D3" w:rsidP="006167D3">
      <w:pPr>
        <w:spacing w:before="150" w:after="0" w:line="240" w:lineRule="auto"/>
        <w:textAlignment w:val="top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512F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Л. 13. Научно-техническая политика Франции</w:t>
      </w:r>
    </w:p>
    <w:p w:rsidR="006167D3" w:rsidRPr="00050DB5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Черноуцан Е.М.1 ©, 2021</w:t>
      </w:r>
    </w:p>
    <w:p w:rsidR="006167D3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Промышленная политика Франции: Вызовы цифровых технологий</w:t>
      </w:r>
      <w:r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. </w:t>
      </w:r>
      <w:hyperlink r:id="rId4" w:history="1">
        <w:r w:rsidRPr="00C76EE8">
          <w:rPr>
            <w:rStyle w:val="a3"/>
            <w:rFonts w:ascii="REG" w:eastAsia="Times New Roman" w:hAnsi="REG" w:cs="Times New Roman"/>
            <w:sz w:val="23"/>
            <w:szCs w:val="23"/>
            <w:lang w:eastAsia="ru-RU"/>
          </w:rPr>
          <w:t>https://cyberleninka.ru/article/n/promyshlennaya-politika-frantsii-vyzovy-tsifrovyh-tehnologiy</w:t>
        </w:r>
      </w:hyperlink>
    </w:p>
    <w:p w:rsidR="006167D3" w:rsidRDefault="006167D3" w:rsidP="006167D3">
      <w:pPr>
        <w:spacing w:before="150" w:after="0" w:line="240" w:lineRule="auto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>Сегодня Франция переживает новый революционный этап промышленного развития, определяемый такими важнейшими мировыми процессами, как трансформация открытой модели глобализации, ужесточение международной конкуренции, ускорение распространения прорывных инноваций, а также стремительное развитие и широкое внедрение новых цифровых и телекоммуникационных технологий. На повестке дня - новая модель глобализированной мировой экономики, важнейшим элементом которой становится активная государственная протекционистская политика отдельных стран, нацеленная на создание самодостаточной и дифференцированной национальной экономики.</w:t>
      </w:r>
    </w:p>
    <w:p w:rsidR="006167D3" w:rsidRDefault="006167D3" w:rsidP="006167D3">
      <w:pPr>
        <w:spacing w:before="150" w:after="0" w:line="240" w:lineRule="auto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>Риск оказаться вне группы ведущих развитых индустриальных стран у Франции по-прежнему весьма высок. Среди приоритетных задач последних стратегических государственных программ - реиндустрилизация страны на основе новейших прорывных технологий, среди которых ключевая роль принадлежит цифровым. Цифровые технологии, как в свое время была электрификация, становятся двигателем нового этапа индустриализации. Франция стоит на пороге Четвертой промышленной революции (Industrie 4.0), которая характеризуется не только стремительным процессом цифровизации, но также глубокой интеграцией и тесным взаимодействием прорывных инноваций из разных областей (информатика, биоиндустрия, медицина, новые материалы, новые источники энергии, искусственный интеллект и др.). Вызовы цифровой реиндустриализации поставили перед французским государством много новых сложных вопросов, которые, в свою очередь, вновь выявили старые нерешенные и острые для страны проблемы, связанные с непрекращающимся в последние десятилетия падением конкурентоспособности национальной промышленности.</w:t>
      </w:r>
    </w:p>
    <w:p w:rsidR="006167D3" w:rsidRPr="00087792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087792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Промышленный и технологический «деклинизм»</w:t>
      </w:r>
      <w:r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(</w:t>
      </w:r>
      <w:r>
        <w:rPr>
          <w:rFonts w:ascii="REG" w:hAnsi="REG"/>
          <w:color w:val="000000"/>
          <w:sz w:val="23"/>
          <w:szCs w:val="23"/>
        </w:rPr>
        <w:t> «déclin» - упадок)</w:t>
      </w:r>
      <w:r w:rsidRPr="00087792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Франции: основные риски для цифровой модернизации национального хозяйства</w:t>
      </w:r>
    </w:p>
    <w:p w:rsidR="006167D3" w:rsidRPr="00087792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087792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Сегодня, как и 20 лет назад, ключевой и труднорешаемой проблемой государственной политики Франции остается непрекращающийся рост промышленной и технологической зависимости национального хозяйства от ведущих индустриальных стран. Доля Франции в мировом экспорте благ и услуг среди стран ОЭСР неуклонно падает с начала 1990-х годов: в 1990 г. она составляла 4,9%, в 2019 г. - 3,5% (по объему). Снижение наблюдалось и в Германии - с 9,4 до 7,4%, и в США - с 12,9 до 10,3%. В Китае в эти годы, напротив, наблюдался постоянный рост - с 1,6 до 11,8% [Rapport annuel.., 2020, p. 72].</w:t>
      </w:r>
    </w:p>
    <w:p w:rsidR="006167D3" w:rsidRPr="00087792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 w:rsidRPr="00087792">
        <w:rPr>
          <w:rFonts w:ascii="REG" w:hAnsi="REG"/>
          <w:color w:val="000000"/>
          <w:sz w:val="23"/>
          <w:szCs w:val="23"/>
        </w:rPr>
        <w:t>Устойчиво теряет свои конкурентные позиции на мировом рынке обрабатывающая промышленность, основа научно-технологического потенциала Франции, на которую приходится более 2/3 расходов на научные исследования и разработки (далее НИР) предпринимательского сектора. Конкурентоспособность французских предприятий обрабатывающей промышленности на мировом рынке непрерывно снижается, о чем, в частности, убедительно свидетельствует динамика основных внешнеэкономических показателей страны.</w:t>
      </w:r>
      <w:r>
        <w:rPr>
          <w:rFonts w:ascii="REG" w:hAnsi="REG"/>
          <w:color w:val="000000"/>
          <w:sz w:val="23"/>
          <w:szCs w:val="23"/>
        </w:rPr>
        <w:t xml:space="preserve">   С</w:t>
      </w:r>
      <w:r w:rsidRPr="00087792">
        <w:rPr>
          <w:rFonts w:ascii="REG" w:hAnsi="REG"/>
          <w:color w:val="000000"/>
          <w:sz w:val="23"/>
          <w:szCs w:val="23"/>
        </w:rPr>
        <w:t>лабым местом</w:t>
      </w:r>
      <w:r>
        <w:rPr>
          <w:rFonts w:ascii="REG" w:hAnsi="REG"/>
          <w:color w:val="000000"/>
          <w:sz w:val="23"/>
          <w:szCs w:val="23"/>
        </w:rPr>
        <w:t xml:space="preserve"> </w:t>
      </w:r>
      <w:r w:rsidRPr="00087792">
        <w:rPr>
          <w:rFonts w:ascii="REG" w:hAnsi="REG"/>
          <w:color w:val="000000"/>
          <w:sz w:val="23"/>
          <w:szCs w:val="23"/>
        </w:rPr>
        <w:t>французских производителей в связи с традиционно высокой стоимостью рабочей силы и высокими налогами. Именно высокая стоимость труда является, по мнению многих экспертов, важнейшей причиной потери конкурентных позиций французской обрабатывающей промышленности. В 2016 г. в промышленном секторе средняя почасовая стоимость рабочей силы составляла во Франции 37 евро/ч, в Германии - 32 евро/ч, Италии - 27 евро/ч, в Испании - 21 евро/ч. [Faire de la France.., 2020, p. 104].</w:t>
      </w:r>
    </w:p>
    <w:p w:rsidR="006167D3" w:rsidRDefault="006167D3" w:rsidP="006167D3">
      <w:pPr>
        <w:spacing w:before="150" w:after="0" w:line="240" w:lineRule="auto"/>
        <w:textAlignment w:val="top"/>
        <w:rPr>
          <w:rFonts w:ascii="REG" w:hAnsi="REG"/>
          <w:color w:val="000000"/>
          <w:sz w:val="23"/>
          <w:szCs w:val="23"/>
        </w:rPr>
      </w:pPr>
      <w:r w:rsidRPr="00087792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В настоящее время во Франции более 30% внутреннего спроса удовлетворяется за счет импорта (31,0% в 2017 г., для сравнения в 1949 г. - 13,5%), особенно высок этот показатель в промышленности, на которую приходится более 70% импорта (72% в 2019 г.)1. В последние </w:t>
      </w:r>
      <w:r w:rsidRPr="00087792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lastRenderedPageBreak/>
        <w:t>годы в совокупном национальном импорте Франции возросла доля Китая, в 2019 г. она составляла более 50% [Principaux partenaires.., 2020]. Доля экспорта в ВВП также более 1/3, 2017 г. - 30,8% (для сравнения в 1949 г. - 14,6%). Основная часть национального экспорта также приходится на промышленность, ее доля составляет около 70% (68% в 2019 г.2) [L'essentiel sur.., 2020; Importations : Données.., 2020; Exportations : Données.., 2021]. С 2003 г. отмечается непрерывный рост уровня проникновения иностранной продукции на внутренней рынок Франции3. В 2018 г., к примеру, этот показатель составил 24,3% [Didier, Jessua, 2019].</w:t>
      </w:r>
      <w:r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REG" w:hAnsi="REG"/>
          <w:color w:val="000000"/>
          <w:sz w:val="23"/>
          <w:szCs w:val="23"/>
        </w:rPr>
        <w:t>За последние десять лет зависимость Франции от импортных поставок из Китая и США непрерывно возрастала. Французские промышленники потребляют гораздо больше китайской добавленной стоимости, чем их китайские коллеги импортируют французскую добавленную стоимость. Доля китайской добавленной стоимости в конечном спросе со стороны французской обрабатывающей промышленности возросла с 2,5% в 2005 г. до 6,9% в 2015 г. Причем Китай опередил США - доля американской добавленной стоимости, импортируемой во Францию, увеличилась за этот период с 4,2 до 5,4%. Китай, который в последнее десятилетие быстро наращивал свою способность к самообеспечению, все меньше и меньше нуждается в импорте из Франции. Доля французской добавленной стоимости в конечном спросе китайской промышленности снизилась за период 2005-2015 гг. с 0,8 до 0,6%.</w:t>
      </w:r>
    </w:p>
    <w:p w:rsidR="006167D3" w:rsidRDefault="006167D3" w:rsidP="006167D3">
      <w:pPr>
        <w:spacing w:before="150" w:after="0" w:line="240" w:lineRule="auto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>Серьезное отставание Франции наблюдается в области цифровой модернизации национального хозяйства. И это на фоне значительных инвестиций в цифровые технологии как со стороны государства, так и частного сектора. Важно отметить, что французские промышленные предприятия инвестируют в цифровые технологии заметно больше, чем их основные европейские конкуренты. В области инвестиций в программное обеспечение и базы данных они находятся в числе первых уже с конца 90-х годов ХХ в. В 2017 г., согласно данным авторитетного экспертного института «La Fabrique de l'industrie», норма инвестиций в программное обеспечение и базы данных в добавленной стоимости предприятий обрабатывающей промышленности Франции составляла 6,3%, в Германии, соответственно, - только 1% [Guillou, Mini, 2019, p. 2]. Данное расхождение осталось существенным и в 2018 г.: во Франции этот показатель составлял - 5,3%, в Германии - 0,5%г [Guillou, Lallement, Mini, 2018, p. 52].</w:t>
      </w:r>
    </w:p>
    <w:p w:rsidR="006167D3" w:rsidRPr="00087792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>
        <w:rPr>
          <w:rFonts w:ascii="REG" w:hAnsi="REG"/>
          <w:color w:val="000000"/>
          <w:sz w:val="23"/>
          <w:szCs w:val="23"/>
        </w:rPr>
        <w:t>С 2016 г. в рамках Европейской комиссии для оценки уровня развития стран ЕС в области цифровых технологий, а также перспектив цифровой трансформации экономики и общества разрабатывается специальный Индекс цифровой экономики и общества (Digital Economy and Society Index - DESI). Индекс состоит из 35 показателей, которые определяют уровень развития страны в разных цифровых областях (цифровые государственные услуги, цифровые навыки, интернет-услуг и пр.). Оценка по индексу DESI по шкале от 0 (наименьшая производительность) до 100 (лучшая производительность)</w:t>
      </w:r>
    </w:p>
    <w:p w:rsidR="006167D3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>Франция занимает 15-е место (52,5), отставая от Финляндии (72,3), Швеции (69,7), Дании (69,1), Люксембурга (57,9), Нидерландов (67,7), Бельгии (58,7), Германии (56,1). По большинству показателей индекса DESI Франция находится ниже среднего уровня стран ЕС и далеко позади самых продвинутых в области освоения цифровых технологий европейских стран, особенно стран Северной Европы. Например, по таким компонентам индекса, как использование интернет-услуг Франция находилась на 21-м месте, по числу людей с продвинутыми цифровыми навыками - на 19-м месте. На сегодняшний день онлайн-торговлей охвачены 15% малых и средних предприятий.</w:t>
      </w:r>
    </w:p>
    <w:p w:rsidR="006167D3" w:rsidRPr="00087792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Франция, как и ее основные европейские конкуренты, несмотря на огромные и многолетние усилия (финансовые, организационные, научные и пр.), различные государственные инициативы и программы по поддержке и стимулированию, так и не смогла создать условия для появления и развития компаний подобно GAFAM. Отметим, что, согласно последнему рейтингу Глобального инновационного индекса, по уровню инновационного развития Франция в 2020 г. поднялась на четыре позиции и заняла 12-е место среди 131 страны (2019 г. - 16-е место среди 129 стран) [Global Innovation.., 2020, p. 254]. Это неплохой результат. Правда, в других авторитетных международных рейтингах, отражающих место французских </w:t>
      </w:r>
      <w:r>
        <w:rPr>
          <w:rFonts w:ascii="REG" w:hAnsi="REG"/>
          <w:color w:val="000000"/>
          <w:sz w:val="23"/>
          <w:szCs w:val="23"/>
        </w:rPr>
        <w:lastRenderedPageBreak/>
        <w:t>технологических компаний, Франция теряет свои позиции. Например, в ежегодном рейтинге Forbes Global 2000 в 2020 г. только четыре французские компании вошли в топ-100, тогда как в 2006 г. их было десять.</w:t>
      </w:r>
    </w:p>
    <w:p w:rsidR="006167D3" w:rsidRPr="00087792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</w:p>
    <w:p w:rsidR="006167D3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                                                Цифровые технологии </w:t>
      </w:r>
      <w:r w:rsidRPr="00E931F7">
        <w:rPr>
          <w:rFonts w:ascii="REG" w:hAnsi="REG"/>
          <w:color w:val="000000"/>
          <w:sz w:val="23"/>
          <w:szCs w:val="23"/>
        </w:rPr>
        <w:t>новый взгляд</w:t>
      </w:r>
    </w:p>
    <w:p w:rsidR="006167D3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                                                        </w:t>
      </w:r>
      <w:r w:rsidRPr="00E931F7">
        <w:rPr>
          <w:rFonts w:ascii="REG" w:hAnsi="REG"/>
          <w:color w:val="000000"/>
          <w:sz w:val="23"/>
          <w:szCs w:val="23"/>
        </w:rPr>
        <w:t xml:space="preserve"> на промышленную политику</w:t>
      </w:r>
    </w:p>
    <w:p w:rsidR="006167D3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>Инновационный этап реконструкции национальной промышленности начался во Франции только в 2000-е годы, до этого промышленная и инновационная политика государства развивались независимо друг от друга. Согласно экспертным оценкам ОЭСР, до 2000-х годов во Франции «государственные инстанции, отвечающие за промышленную политику, руководствовались принципом: результаты научно-технического прогресса автоматически встраиваются в экономическое развитие, и именно непосредственно сами предприятия будут их применять для производства новых продуктов и внедрения новых технологических процессов». С 2004 г. в государственной политике Франции произошел решительный поворот в сторону инноваций, которые стали ключевым инструментом модернизации национальной промышленности и усиления ее конкурентоспособности. Речь шла о единой промышленно-инновационной политике. В настоящее время локомотивом промышленного возрождения объявлены цифровые технологии.</w:t>
      </w:r>
    </w:p>
    <w:p w:rsidR="006167D3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3E1FB6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1 Политика «Индустриального императива» Шарля де Голля («l'impératif industriel»), программа «Инвестиции в будущее» («Investissement d'avenir», 2010), программа «Новая индустриальная Франция» («Nouvelle France industrielle», 2013), план «Индустрия будущего» («Industrie du future», 2015), План экономического подъема («Plan de Relance», 2020) и др.</w:t>
      </w:r>
    </w:p>
    <w:p w:rsidR="006167D3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 в зависимости от методик то включается в промышленную деятельность, то не включается. Учитывая, что сегодня большинство промышленных предприятий активно участвуют в производстве нематериальных благ (логистика, телекоммуникационные и информационные услуги, маркетинг, программное обеспечение и пр.), а часть услуг является важнейшим звеном в цепочке создания добавленной стоимости, понятие «промышленность» становится все более неопределенным и расплывчатым. </w:t>
      </w:r>
      <w:r w:rsidRPr="003E1FB6">
        <w:rPr>
          <w:rFonts w:ascii="REG" w:hAnsi="REG"/>
          <w:color w:val="000000"/>
          <w:sz w:val="23"/>
          <w:szCs w:val="23"/>
        </w:rPr>
        <w:t>Во многих отраслях</w:t>
      </w:r>
      <w:r>
        <w:rPr>
          <w:rFonts w:ascii="REG" w:hAnsi="REG"/>
          <w:color w:val="000000"/>
          <w:sz w:val="23"/>
          <w:szCs w:val="23"/>
        </w:rPr>
        <w:t xml:space="preserve"> </w:t>
      </w:r>
      <w:r w:rsidRPr="003E1FB6">
        <w:rPr>
          <w:rFonts w:ascii="REG" w:hAnsi="REG"/>
          <w:color w:val="000000"/>
          <w:sz w:val="23"/>
          <w:szCs w:val="23"/>
        </w:rPr>
        <w:t>промышленности уже в первом десятилетии XXI в. отмечался постоянный рост услуг в продажах предприятий обрабатывающей промышленности. По оценкам экспертов, к «2007 г. около 1/4 предприятий, базирующихся во Франции, продавали исключительно услуги, 1/3 - в основном услуги, 87% - в том числе услуги» [Fontagné, Mohnen, Wolf, 2014]. Более того, часть компаний, классифицированных в рубрике «сфера услуг», на самом деле были промышленными предприятиями, создающими стоимости. Включенность предприятий, производящих материальные блага, в сферу услуг становится важнейшим фактором их конкурентоспособности.</w:t>
      </w:r>
    </w:p>
    <w:p w:rsidR="006167D3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Единого государственного центра, отвечающего за развитие промышленной политики во Франции, по сути, никогда не было.  </w:t>
      </w:r>
      <w:r w:rsidRPr="003E1FB6">
        <w:rPr>
          <w:rFonts w:ascii="REG" w:hAnsi="REG"/>
          <w:color w:val="000000"/>
          <w:sz w:val="23"/>
          <w:szCs w:val="23"/>
        </w:rPr>
        <w:t>В 2014 г.,</w:t>
      </w:r>
      <w:r>
        <w:rPr>
          <w:rFonts w:ascii="REG" w:hAnsi="REG"/>
          <w:color w:val="000000"/>
          <w:sz w:val="23"/>
          <w:szCs w:val="23"/>
        </w:rPr>
        <w:t xml:space="preserve"> </w:t>
      </w:r>
      <w:r w:rsidRPr="003E1FB6">
        <w:rPr>
          <w:rFonts w:ascii="REG" w:hAnsi="REG"/>
          <w:color w:val="000000"/>
          <w:sz w:val="23"/>
          <w:szCs w:val="23"/>
        </w:rPr>
        <w:t>учитывая серьезное отставание Франции в области цифровых технологий, оно вошло в состав вновь созданного Министерства экономики, промышленности и цифровых технологий, которое в свою очередь с конца августа 2016 г. было слито с Министерством экономики и финансов. В рамках Министерства экономики и финансов была создана специализированная служба по делам инновационного развития и цифровых технологий. С 2020 г. министерство преобразовано в Министерство экономики, финансов и экономического подъема (Ministère de l'Économie, des Finances et de la Relance), на котором лежит основная ответственность за промышленную, инновационную и цифровую политику Франции.</w:t>
      </w:r>
    </w:p>
    <w:p w:rsidR="006167D3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Учитывая, что в силу специфики большинство отраслей требуют особых подходов и инструментов регулирования, параллельно с центральными органами власти во Франции сложилась сеть специализированных органов по отраслевому управлению. Кроме официальных государственных служб (агентства, управления, дирекции и пр.) в последнее </w:t>
      </w:r>
      <w:r>
        <w:rPr>
          <w:rFonts w:ascii="REG" w:hAnsi="REG"/>
          <w:color w:val="000000"/>
          <w:sz w:val="23"/>
          <w:szCs w:val="23"/>
        </w:rPr>
        <w:lastRenderedPageBreak/>
        <w:t>время все больше появляется институциональных структур с особым независимым статусом, регулирующих отдельные сектора экономики, так называемые Независимые административные органы.</w:t>
      </w:r>
    </w:p>
    <w:p w:rsidR="006167D3" w:rsidRPr="004A6752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Особая ситуация складывается в секторе цифровых технологий. В нем независимые органы административной власти получили наибольшее распространение. Сектор цифровых технологий требует нестандартных решений. В этой области не прекращаются дискуссии относительно того, какие меры - «вертикальной» или «горизонтальной» промышленной политики - более эффективны. «Вертикальная» промышленная политика традиционно связана с прямой, целенаправленной поддержкой государством ограниченного числа рынков или секторов, которые считаются приоритетными (субсидии, публичное участие в капитале предприятия, таможенные пошлины и пр.). «Горизонтальная» промышленная </w:t>
      </w:r>
      <w:r w:rsidRPr="004A6752">
        <w:rPr>
          <w:rFonts w:ascii="REG" w:hAnsi="REG"/>
          <w:color w:val="000000"/>
          <w:sz w:val="23"/>
          <w:szCs w:val="23"/>
        </w:rPr>
        <w:t>политика, направленная на создание благоприятных условий для развития предпринимательской деятельности в целом, включает самый широкий спектр государственных инициатив в области налогообложения, поддержки научной и инновационной деятельности, правовой защищенности, инфраструктуры, обучения персонала, защиты интеллектуальной собственности.</w:t>
      </w:r>
    </w:p>
    <w:p w:rsidR="006167D3" w:rsidRPr="004A6752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 w:rsidRPr="004A6752">
        <w:rPr>
          <w:rFonts w:ascii="REG" w:hAnsi="REG"/>
          <w:color w:val="000000"/>
          <w:sz w:val="23"/>
          <w:szCs w:val="23"/>
        </w:rPr>
        <w:t>Цифровые технологии диктуют новые требования к государственному вмешательству. Опыт Франции, страны с ярко выраженными дирижистскими традициями, хорошо выявляет основные трудности на пути к цифровой экономике. Яркий пример -провал государственной стратегической программы по развитию информа</w:t>
      </w:r>
      <w:r>
        <w:rPr>
          <w:rFonts w:ascii="REG" w:hAnsi="REG"/>
          <w:color w:val="000000"/>
          <w:sz w:val="23"/>
          <w:szCs w:val="23"/>
        </w:rPr>
        <w:t xml:space="preserve">тики «Плана Калькюль». </w:t>
      </w:r>
      <w:r w:rsidRPr="004A6752">
        <w:rPr>
          <w:rFonts w:ascii="REG" w:hAnsi="REG"/>
          <w:color w:val="000000"/>
          <w:sz w:val="23"/>
          <w:szCs w:val="23"/>
        </w:rPr>
        <w:t> Одна из причин - жесткая дирижистская государственная политика, подавляющая частную инициативу, отсутствие активных мер «горизонтальной» политики (тяжелый налоговый и административный режим для предприятий). В настоящее время в связи с усилением международной конкуренции и появлением цифровых гигантов GAFAM защита национального суверенитета в стратегических отраслях (электронные компоненты, кибербезопасность, цифровые технологии, большие данные, искусственный интеллект и др.) становится важнейшей задачей государства, без поддержки которого частный бизнес вряд ли справится. Однако это не отменяет важность «горизонтальной» политики. Цифровая реин-дустриализация Франции, направленная на развитие новых секторов, продуктов или технологий, требует, по мнению многих экспертов, сбалансированной политики, так называемой «полити-ки-микс» (les policy-mix), органично включающей меры «горизонтальной» и «вертикальной» политики.</w:t>
      </w:r>
    </w:p>
    <w:p w:rsidR="006167D3" w:rsidRDefault="006167D3" w:rsidP="006167D3">
      <w:pPr>
        <w:spacing w:before="150" w:after="0" w:line="240" w:lineRule="auto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 w:rsidRPr="004A6752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Тем не менее необходимо признать, что «горизонтальная» промышленная политика является традиционно слабым местом Франции. Ее слабость в большинстве случаев является главным тормозом предпринимательской и инновационной активности национальных компаний.</w:t>
      </w:r>
    </w:p>
    <w:p w:rsidR="006167D3" w:rsidRPr="00AD2EBD" w:rsidRDefault="006167D3" w:rsidP="006167D3">
      <w:pPr>
        <w:pStyle w:val="a4"/>
        <w:spacing w:before="150" w:beforeAutospacing="0" w:after="0" w:afterAutospacing="0"/>
        <w:textAlignment w:val="top"/>
        <w:rPr>
          <w:rFonts w:ascii="REG" w:hAnsi="REG"/>
          <w:color w:val="000000"/>
          <w:sz w:val="23"/>
          <w:szCs w:val="23"/>
        </w:rPr>
      </w:pPr>
      <w:r>
        <w:rPr>
          <w:rFonts w:ascii="REG" w:hAnsi="REG"/>
          <w:color w:val="000000"/>
          <w:sz w:val="23"/>
          <w:szCs w:val="23"/>
        </w:rPr>
        <w:t xml:space="preserve">Франция отличается самым жестким налоговым режимом и чрезвычайно обременительным административным регулированием для предприятий. В глобальном рейтинге конкурентоспособности за 2019 г., составленном Всемирным экономическим форумом, среди 141 страны Франция занимала 15-е место, в том числе 141-е место по такому показателю, как налог на труд (Labour tax rate), а именно обязательных взносов на труд, которые выплачивает предприниматель (49,7% от коммерческой прибыли). В 2017 г. среди 137 стран по показателю общая налоговая ставка (Total tax rate) она занимала 127-е место (62,8% от коммерческой прибыли), а по показателю административная нагрузка на предприятие (Burden of government regulation) - 115-е место [The Global Competitiveness.., 2019, p. 222-224; The Global Competitiveness.., 2017, p. 121]. Антипредпринимательский и антиинновационный характер налоговой и административной нагрузки - серьезный барьер на пути цифровой реиндустриализации Франции. </w:t>
      </w:r>
      <w:r w:rsidRPr="00AD2EBD">
        <w:rPr>
          <w:rFonts w:ascii="REG" w:hAnsi="REG"/>
          <w:color w:val="000000"/>
          <w:sz w:val="23"/>
          <w:szCs w:val="23"/>
        </w:rPr>
        <w:t>Главная уязвимость французских товаров на рынках -недостаточный уровень инновационности, что в решающей степени связано с тяжелой налоговой и административной нагрузкой на промышленные предприятия. Ключевое условие цифровой реиндустриализации Франции - создание в стране благоприятной предпринимательской среды. Среди важнейших задач плана по</w:t>
      </w:r>
      <w:r>
        <w:rPr>
          <w:rFonts w:ascii="REG" w:hAnsi="REG"/>
          <w:color w:val="000000"/>
          <w:sz w:val="23"/>
          <w:szCs w:val="23"/>
        </w:rPr>
        <w:t xml:space="preserve"> </w:t>
      </w:r>
      <w:r w:rsidRPr="00AD2EBD">
        <w:rPr>
          <w:rFonts w:ascii="REG" w:hAnsi="REG"/>
          <w:color w:val="000000"/>
          <w:sz w:val="23"/>
          <w:szCs w:val="23"/>
        </w:rPr>
        <w:t>возрождению французской экономики после пандемии COVID-19</w:t>
      </w:r>
      <w:r>
        <w:rPr>
          <w:rFonts w:ascii="REG" w:hAnsi="REG"/>
          <w:color w:val="000000"/>
          <w:sz w:val="23"/>
          <w:szCs w:val="23"/>
        </w:rPr>
        <w:t xml:space="preserve"> перемещение цепочек создания стоимости во </w:t>
      </w:r>
      <w:r>
        <w:rPr>
          <w:rFonts w:ascii="REG" w:hAnsi="REG"/>
          <w:color w:val="000000"/>
          <w:sz w:val="23"/>
          <w:szCs w:val="23"/>
        </w:rPr>
        <w:lastRenderedPageBreak/>
        <w:t>Францию, что, в частности, потребует налоговой политики, которая должна создать привлекательные условия для бизнеса.</w:t>
      </w:r>
    </w:p>
    <w:p w:rsidR="006167D3" w:rsidRDefault="006167D3" w:rsidP="0061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</w:pPr>
    </w:p>
    <w:p w:rsidR="006167D3" w:rsidRPr="00AD2EBD" w:rsidRDefault="006167D3" w:rsidP="00616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ПОДГОТОВКА ВХОЖДЕНИЯ ФРАНЦИИ</w:t>
      </w:r>
    </w:p>
    <w:p w:rsidR="006167D3" w:rsidRPr="00AD2EBD" w:rsidRDefault="006167D3" w:rsidP="00616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В ИНФОРМАЦИОННОЕ ОБЩЕСТВО</w:t>
      </w:r>
    </w:p>
    <w:p w:rsidR="006167D3" w:rsidRPr="00AD2EBD" w:rsidRDefault="006167D3" w:rsidP="00616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E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6167D3" w:rsidRPr="00AD2EBD" w:rsidRDefault="006167D3" w:rsidP="00616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E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Правительственная программа действий</w:t>
      </w:r>
    </w:p>
    <w:p w:rsidR="006167D3" w:rsidRDefault="006167D3" w:rsidP="006167D3">
      <w:pPr>
        <w:spacing w:before="150" w:after="0" w:line="240" w:lineRule="auto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Вход Франции в информационное общество представляет проблему исключительной важности для нашего будущего. </w:t>
      </w:r>
      <w:r>
        <w:rPr>
          <w:color w:val="000000"/>
          <w:sz w:val="28"/>
          <w:szCs w:val="28"/>
        </w:rPr>
        <w:t>Условия для входа Франции в информационное общество исключительно важны для нашего будущего. Экономические вопросы очевидны. Мультимедийная индустрия - включая компьютерную, телекоммуникационную и аудиовизуальную отрасли - является теперь одной из движущих сил экономического роста. Информация становится стратегическим товаром, одним из условий нашей конкурентоспособности. Продукты интеллектуальной деятельности уже представляют существенную долю нашего общего благосостояния.</w:t>
      </w:r>
    </w:p>
    <w:p w:rsidR="006167D3" w:rsidRDefault="006167D3" w:rsidP="006167D3">
      <w:pPr>
        <w:spacing w:before="150" w:after="0" w:line="24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Правительственная программа действий для информационного общества отмечает государственные обязательства, особые пункты, сектора, вопросы и приоритеты, сопровождаемые конкретными предложениями.</w:t>
      </w:r>
    </w:p>
    <w:p w:rsidR="006167D3" w:rsidRPr="00C761D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761D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ШЕСТЬ ПРИОРИТЕТНЫХ ОБЛАСТЕЙ</w:t>
      </w:r>
    </w:p>
    <w:p w:rsidR="006167D3" w:rsidRPr="00C761D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эффективности общественные действия должны быть сконцентрированы на определенных приоритетах</w:t>
      </w:r>
    </w:p>
    <w:p w:rsidR="006167D3" w:rsidRPr="00C761D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государства должна концентрироваться на ограниченном наборе приоритетов для эффективности и должного ее понимания гражданами. Правительственные инициативы по подготовке вхождения Франции в информационное общество, таким образом, должны отвечать на основные беспокоящие моменты: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средства информационных и коммуникационных технологий в секторе образования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Амбициозная культурная политика для новых сетей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технология как инструмент для модернизации общественных служб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технология – необходимый инструмент для компаний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вызовов индустриальных и технологических инноваций</w:t>
      </w:r>
    </w:p>
    <w:p w:rsidR="006167D3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появления эффективного регулирования и защитной структуры для новых информационных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7D3" w:rsidRDefault="006167D3" w:rsidP="006167D3">
      <w:pPr>
        <w:pStyle w:val="1"/>
        <w:spacing w:before="0"/>
        <w:ind w:left="432" w:hanging="432"/>
        <w:jc w:val="both"/>
        <w:rPr>
          <w:smallCaps/>
          <w:color w:val="000000"/>
          <w:sz w:val="28"/>
          <w:szCs w:val="28"/>
        </w:rPr>
      </w:pPr>
      <w:r>
        <w:rPr>
          <w:caps/>
          <w:smallCaps/>
          <w:color w:val="000000"/>
          <w:sz w:val="28"/>
          <w:szCs w:val="28"/>
        </w:rPr>
        <w:lastRenderedPageBreak/>
        <w:t>1</w:t>
      </w:r>
      <w:r>
        <w:rPr>
          <w:caps/>
          <w:smallCaps/>
          <w:color w:val="000000"/>
          <w:sz w:val="14"/>
          <w:szCs w:val="14"/>
        </w:rPr>
        <w:t>          </w:t>
      </w:r>
      <w:r>
        <w:rPr>
          <w:caps/>
          <w:smallCaps/>
          <w:color w:val="000000"/>
          <w:sz w:val="28"/>
          <w:szCs w:val="28"/>
        </w:rPr>
        <w:t>НОВЫЕ СРЕДСТВА ИНФОРМАЦИОННЫХ И КОММУНИКАЦИОННЫХ ТЕХНОЛОГИЙ В СЕКТОРЕ ОБРАЗОВАНИЯ</w:t>
      </w:r>
    </w:p>
    <w:p w:rsidR="006167D3" w:rsidRPr="00C761D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соревнования в интеллекте начинается в школе, где развитие  информационных и коммуникационных технологий отвечает двойной цели: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наших будущих граждан опытом, необходимым для использования этих новых средств связи, которые станут необходимыми для них,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761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широкого разнообразия мультимедийных средств для модернизации методов обучения.</w:t>
      </w:r>
    </w:p>
    <w:p w:rsidR="006167D3" w:rsidRPr="00C761D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этих целей государство посвятит обширные ресурсы этой ключевой для будущего области за трехлетний период. Это исключительное содействие затронет все сектора образования, на всех уровнях и охватит обучение преподавателей</w:t>
      </w:r>
    </w:p>
    <w:p w:rsidR="006167D3" w:rsidRPr="00C761DE" w:rsidRDefault="006167D3" w:rsidP="006167D3">
      <w:pPr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67D3" w:rsidRDefault="006167D3" w:rsidP="006167D3">
      <w:pPr>
        <w:pStyle w:val="1"/>
        <w:ind w:left="432" w:hanging="432"/>
        <w:jc w:val="both"/>
        <w:rPr>
          <w:smallCaps/>
          <w:color w:val="000000"/>
          <w:sz w:val="28"/>
          <w:szCs w:val="28"/>
        </w:rPr>
      </w:pPr>
      <w:r w:rsidRPr="00C761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caps/>
          <w:smallCaps/>
          <w:color w:val="000000"/>
          <w:sz w:val="28"/>
          <w:szCs w:val="28"/>
        </w:rPr>
        <w:t>2</w:t>
      </w:r>
      <w:r>
        <w:rPr>
          <w:caps/>
          <w:smallCaps/>
          <w:color w:val="000000"/>
          <w:sz w:val="14"/>
          <w:szCs w:val="14"/>
        </w:rPr>
        <w:t>          </w:t>
      </w:r>
      <w:r>
        <w:rPr>
          <w:caps/>
          <w:smallCaps/>
          <w:color w:val="000000"/>
          <w:sz w:val="28"/>
          <w:szCs w:val="28"/>
        </w:rPr>
        <w:t>АМБИЦИОЗНАЯ КУЛЬТУРНАЯ ПОЛИТИКА ДЛЯ НОВЫХ СЕТЕЙ</w:t>
      </w:r>
    </w:p>
    <w:p w:rsidR="006167D3" w:rsidRDefault="006167D3" w:rsidP="006167D3">
      <w:pPr>
        <w:pStyle w:val="a5"/>
        <w:spacing w:beforeAutospacing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Цифровая революция превратила компьютеры и информационные сети в инструментальные средства творчества и коммуникаций - в средства информации в истинном смысле этого слова. Этот бум в информационной промышленности сопровождался быстрым развитием   материалов и программ, в особенности имеющих культурную направленность.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Доля материалов и услуг, в настоящее время доступных в Интернете на французском языке неадекватна. Учитывая наше богатое наследие, особенно парадоксально, что мы должны отставать в сфере искусств,  где Интернет играет главную распространяющую роль. Информационные и коммуникационные технологии порождают новые навыки и новые подходы в искусстве, приводя к глубоким изменениям в индустрии средств информации и искусства. Вход в информационное общество и назначение  информационных и коммуникационных технологий, таким образом, представляет  собой главный компонент в амбициозной культурной политике.</w:t>
      </w:r>
    </w:p>
    <w:p w:rsidR="006167D3" w:rsidRDefault="006167D3" w:rsidP="006167D3">
      <w:pPr>
        <w:pStyle w:val="1"/>
        <w:spacing w:before="0"/>
        <w:ind w:left="432" w:hanging="432"/>
        <w:jc w:val="both"/>
        <w:rPr>
          <w:smallCaps/>
          <w:color w:val="000000"/>
          <w:sz w:val="28"/>
          <w:szCs w:val="28"/>
        </w:rPr>
      </w:pPr>
      <w:r>
        <w:rPr>
          <w:caps/>
          <w:smallCaps/>
          <w:color w:val="000000"/>
          <w:sz w:val="28"/>
          <w:szCs w:val="28"/>
        </w:rPr>
        <w:t>3</w:t>
      </w:r>
      <w:r>
        <w:rPr>
          <w:caps/>
          <w:smallCaps/>
          <w:color w:val="000000"/>
          <w:sz w:val="14"/>
          <w:szCs w:val="14"/>
        </w:rPr>
        <w:t>          </w:t>
      </w:r>
      <w:r>
        <w:rPr>
          <w:caps/>
          <w:smallCaps/>
          <w:color w:val="000000"/>
          <w:sz w:val="28"/>
          <w:szCs w:val="28"/>
        </w:rPr>
        <w:t>ИНФОРМАЦИОННЫЕ ТЕХНОЛОГИИ КАК СРЕДСТВО МОДЕРНИЗАЦИИ ОБЩЕСТВЕННЫХ СЛУЖБ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Новые информационные сети предлагают особенно многообещающие перспективы в отношении реформы госаппарата, в отношении ли улучшающихся взаимоотношений с широкой общественностью и </w:t>
      </w:r>
      <w:r>
        <w:rPr>
          <w:color w:val="000000"/>
          <w:sz w:val="28"/>
          <w:szCs w:val="28"/>
        </w:rPr>
        <w:lastRenderedPageBreak/>
        <w:t>компаниями, или же в отношении роста эффективности своей внутренней работы.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Информационная технология позволяет предусмотреть новые способы сделать доступной информацию, полезную для широкой общественности - уже  в цифровой форме и, таким образом, за меньшую цену. Эти способы также предлагают возможность иметь дело с административными властями на расстоянии, то есть посредством автоматических процедур обработки данных, таким образом избегая ограничений, наложенных временем начала работы общественных служб, или географическим расстоянием.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Кроме того, использование информационных и коммуникационных технологий и новых сетей в ведомствах увеличивает эффективность и облегчает возможность обмена информацией.</w:t>
      </w:r>
    </w:p>
    <w:p w:rsidR="006167D3" w:rsidRDefault="006167D3" w:rsidP="006167D3">
      <w:pPr>
        <w:pStyle w:val="1"/>
        <w:spacing w:before="0"/>
        <w:ind w:left="432" w:hanging="432"/>
        <w:jc w:val="both"/>
        <w:rPr>
          <w:smallCaps/>
          <w:color w:val="000000"/>
          <w:sz w:val="28"/>
          <w:szCs w:val="28"/>
        </w:rPr>
      </w:pPr>
      <w:r>
        <w:rPr>
          <w:caps/>
          <w:smallCaps/>
          <w:color w:val="000000"/>
          <w:sz w:val="28"/>
          <w:szCs w:val="28"/>
        </w:rPr>
        <w:t>4</w:t>
      </w:r>
      <w:r>
        <w:rPr>
          <w:caps/>
          <w:smallCaps/>
          <w:color w:val="000000"/>
          <w:sz w:val="14"/>
          <w:szCs w:val="14"/>
        </w:rPr>
        <w:t>          </w:t>
      </w:r>
      <w:r>
        <w:rPr>
          <w:caps/>
          <w:smallCaps/>
          <w:color w:val="000000"/>
          <w:sz w:val="28"/>
          <w:szCs w:val="28"/>
        </w:rPr>
        <w:t>ИНФОРМАЦИОННАЯ ТЕХНОЛОГИЯ, НЕОБХОДИМЫЙ ИНСТРУМЕНТ ДЛЯ КОМПАНИЙ</w:t>
      </w:r>
    </w:p>
    <w:p w:rsidR="006167D3" w:rsidRDefault="006167D3" w:rsidP="006167D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167D3" w:rsidRDefault="006167D3" w:rsidP="006167D3">
      <w:pPr>
        <w:pStyle w:val="2"/>
        <w:spacing w:beforeAutospacing="0" w:afterAutospacing="0"/>
        <w:ind w:left="576" w:hanging="57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4.1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  <w:u w:val="single"/>
        </w:rPr>
        <w:t>Компьютеризация компаний – ключевой вопрос будущего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Растущее понимание компаниями огромных возможностей, предлагаемых новыми инструментальными средствами информационными и коммуникационными технологиями в управлении поточных линий, обеспечении рынков, управлении финансовой деятельностью или человеческих отношений является уже существенным. Это может  исходить только из самих компаний; это - таким образом, частные инициативы, которые будут первичной движущей силой для компьютеризации компаний.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Государство должно, однако, пытаться отвечать на любые сомнения со стороны компаний, вкладывать ли капитал в компьютерное оборудование, посредством разъяснения и предложения поддержки. Оно может также показывать пример успешного использования информационных и коммуникационных технологий, чтобы модернизировать общественные службы,</w:t>
      </w:r>
    </w:p>
    <w:p w:rsidR="006167D3" w:rsidRDefault="006167D3" w:rsidP="006167D3">
      <w:pPr>
        <w:pStyle w:val="3"/>
        <w:spacing w:before="240" w:beforeAutospacing="0" w:after="6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Развитие электронной торговли затрагивает различные области</w:t>
      </w:r>
    </w:p>
    <w:p w:rsidR="006167D3" w:rsidRDefault="006167D3" w:rsidP="006167D3">
      <w:pPr>
        <w:pStyle w:val="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Реформы, предпринятые, чтобы продвинуть развитие электронной торговли могут коснуться весьма различных областей, среди которых можно упомянуть:</w:t>
      </w:r>
    </w:p>
    <w:p w:rsidR="006167D3" w:rsidRDefault="006167D3" w:rsidP="006167D3">
      <w:pPr>
        <w:spacing w:before="100" w:after="100"/>
        <w:ind w:left="360" w:hanging="360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Изменения в договорном праве,</w:t>
      </w:r>
    </w:p>
    <w:p w:rsidR="006167D3" w:rsidRDefault="006167D3" w:rsidP="006167D3">
      <w:pPr>
        <w:spacing w:before="100" w:after="100"/>
        <w:ind w:left="360" w:hanging="360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Платежные системы,</w:t>
      </w:r>
    </w:p>
    <w:p w:rsidR="006167D3" w:rsidRDefault="006167D3" w:rsidP="006167D3">
      <w:pPr>
        <w:spacing w:before="100" w:after="100"/>
        <w:ind w:left="360" w:hanging="360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Налогообложение,</w:t>
      </w:r>
    </w:p>
    <w:p w:rsidR="006167D3" w:rsidRDefault="006167D3" w:rsidP="006167D3">
      <w:pPr>
        <w:spacing w:before="100" w:after="100"/>
        <w:ind w:left="360" w:hanging="360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0"/>
          <w:szCs w:val="20"/>
        </w:rPr>
        <w:lastRenderedPageBreak/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Защита потребителя,</w:t>
      </w:r>
    </w:p>
    <w:p w:rsidR="006167D3" w:rsidRDefault="006167D3" w:rsidP="006167D3">
      <w:pPr>
        <w:spacing w:before="100" w:after="100"/>
        <w:ind w:left="360" w:hanging="360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Роль общественных служб в электронной торговле,</w:t>
      </w:r>
    </w:p>
    <w:p w:rsidR="006167D3" w:rsidRDefault="006167D3" w:rsidP="006167D3">
      <w:pPr>
        <w:spacing w:before="100" w:after="100"/>
        <w:ind w:left="360" w:hanging="360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Международные инициативы.</w:t>
      </w:r>
    </w:p>
    <w:p w:rsidR="006167D3" w:rsidRDefault="006167D3" w:rsidP="006167D3">
      <w:pPr>
        <w:pStyle w:val="1"/>
        <w:spacing w:before="0"/>
        <w:ind w:left="432" w:hanging="432"/>
        <w:jc w:val="both"/>
        <w:rPr>
          <w:smallCaps/>
          <w:color w:val="000000"/>
          <w:sz w:val="28"/>
          <w:szCs w:val="28"/>
        </w:rPr>
      </w:pPr>
      <w:r>
        <w:rPr>
          <w:caps/>
          <w:smallCaps/>
          <w:color w:val="000000"/>
          <w:sz w:val="28"/>
          <w:szCs w:val="28"/>
        </w:rPr>
        <w:t>5</w:t>
      </w:r>
      <w:r>
        <w:rPr>
          <w:caps/>
          <w:smallCaps/>
          <w:color w:val="000000"/>
          <w:sz w:val="14"/>
          <w:szCs w:val="14"/>
        </w:rPr>
        <w:t>          </w:t>
      </w:r>
      <w:r>
        <w:rPr>
          <w:caps/>
          <w:smallCaps/>
          <w:color w:val="000000"/>
          <w:sz w:val="28"/>
          <w:szCs w:val="28"/>
        </w:rPr>
        <w:t>ВСТРЕЧА ВЫЗОВОВ ИНДУСТРИАЛЬНЫХ И ТЕХНОЛОГИЧЕСКИХ ИННОВАЦИЙ</w:t>
      </w:r>
    </w:p>
    <w:p w:rsidR="006167D3" w:rsidRDefault="006167D3" w:rsidP="006167D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167D3" w:rsidRDefault="006167D3" w:rsidP="006167D3">
      <w:pPr>
        <w:pStyle w:val="2"/>
        <w:spacing w:beforeAutospacing="0" w:afterAutospacing="0"/>
        <w:ind w:left="576" w:hanging="57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5.1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  <w:u w:val="single"/>
        </w:rPr>
        <w:t>Общее видение проблемы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Компании в секторе информационных и коммуникационных технологий, выполняющие ли промышленную деятельность или создающие программные приложения, составляют очень важный источник занятости населения. Они таким образом предлагают значительное перспективы в том, что касается роста и экспортирования.</w:t>
      </w:r>
    </w:p>
    <w:p w:rsidR="006167D3" w:rsidRDefault="006167D3" w:rsidP="006167D3">
      <w:pPr>
        <w:pStyle w:val="3"/>
        <w:spacing w:before="240" w:beforeAutospacing="0" w:after="6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Стратегические ставки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Важно, что Франция должна извлечь выгоду из индустриального роста, связанного с этими новыми приложениями, и не просто стать потребителем информационных технологий.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Уметь обращаться с информационными и коммуникационными технологиями - имеет жизненно важное значение, потому что завтрашнее богатство и власть будут сконцентрированы в местах, где с этими технологиями справляются.</w:t>
      </w:r>
    </w:p>
    <w:p w:rsidR="006167D3" w:rsidRDefault="006167D3" w:rsidP="006167D3">
      <w:pPr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Информационные и коммуникационные технологии, которые являются факторами  влияния в производительности и эффективности экономики в целом, формируют часть технической инфраструктуры, качество которой определяет глобальную конкурентоспособность национальной экономики. Факторы, которые зависят от них, включают в особенности доступность сетей связи, административную эффективность, управление физической транспортировкой и поэтому привлекательность страны для  иностранных инвесторов.</w:t>
      </w:r>
    </w:p>
    <w:p w:rsidR="006167D3" w:rsidRDefault="006167D3" w:rsidP="006167D3">
      <w:pPr>
        <w:pStyle w:val="1"/>
        <w:spacing w:before="0"/>
        <w:ind w:left="432" w:hanging="432"/>
        <w:jc w:val="both"/>
        <w:rPr>
          <w:smallCaps/>
          <w:color w:val="000000"/>
          <w:sz w:val="28"/>
          <w:szCs w:val="28"/>
        </w:rPr>
      </w:pPr>
      <w:r>
        <w:rPr>
          <w:caps/>
          <w:smallCaps/>
          <w:color w:val="000000"/>
          <w:sz w:val="28"/>
          <w:szCs w:val="28"/>
        </w:rPr>
        <w:t>6</w:t>
      </w:r>
      <w:r>
        <w:rPr>
          <w:caps/>
          <w:smallCaps/>
          <w:color w:val="000000"/>
          <w:sz w:val="14"/>
          <w:szCs w:val="14"/>
        </w:rPr>
        <w:t>          </w:t>
      </w:r>
      <w:r>
        <w:rPr>
          <w:caps/>
          <w:smallCaps/>
          <w:color w:val="000000"/>
          <w:sz w:val="28"/>
          <w:szCs w:val="28"/>
        </w:rPr>
        <w:t>ПООЩРЕНИЕ ПОЯВЛЕНИЯ ЭФФЕКТИВНОГО РЕГУЛИРОВАНИЯ И РЕГУЛИРУЮЩЕЙ СТРУКТУРЫ ДЛЯ НОВЫХ ИНФОРМАЦИОННЫХ СЕТЕЙ</w:t>
      </w:r>
    </w:p>
    <w:p w:rsidR="006167D3" w:rsidRDefault="006167D3" w:rsidP="006167D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167D3" w:rsidRDefault="006167D3" w:rsidP="006167D3">
      <w:pPr>
        <w:pStyle w:val="2"/>
        <w:spacing w:beforeAutospacing="0" w:afterAutospacing="0"/>
        <w:ind w:left="576" w:hanging="57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6.1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  <w:u w:val="single"/>
        </w:rPr>
        <w:t>Поощрение появления регулирующей структуры, приспособленной к новым информационным сетям</w:t>
      </w:r>
    </w:p>
    <w:p w:rsidR="006167D3" w:rsidRDefault="006167D3" w:rsidP="006167D3">
      <w:pPr>
        <w:pStyle w:val="3"/>
        <w:spacing w:before="240" w:beforeAutospacing="0" w:after="6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Изменение регуляции в контексте отраслевого слияния</w:t>
      </w:r>
    </w:p>
    <w:p w:rsidR="006167D3" w:rsidRDefault="006167D3" w:rsidP="006167D3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прошлые несколько лет стало ясно, что необходимые изменения в юридических и регуляционных механизмах для управления развитием </w:t>
      </w:r>
      <w:r>
        <w:rPr>
          <w:color w:val="000000"/>
          <w:sz w:val="28"/>
          <w:szCs w:val="28"/>
        </w:rPr>
        <w:lastRenderedPageBreak/>
        <w:t>информационных технологий, должны учесть слияние между телекоммуникационным и аудиовизуальным секторами.</w:t>
      </w:r>
    </w:p>
    <w:p w:rsidR="006167D3" w:rsidRPr="00C6029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Слияние методов телекоммуникаций охватывает несколько реалий. В сущности своей это - технологическое слияние: преобразование в цифровую форму сводит вместе обработку данных, сети, аудиовизуальный сектор, прессу и почту.</w:t>
      </w:r>
    </w:p>
    <w:p w:rsidR="006167D3" w:rsidRPr="00C6029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экономически, идея относительно слияния соответствует сведению вместе аудиовизуального сектора, прессы, телекоммуникациям и отраслям промышленности обработки данных, которые уже начинались с роста сектора интегрированных средств передачи и обработки информации. Для пользователей, слияние проявляет себя и мультимедией и синергизмом между "средствами массовой информации" типа телевидения, и личных средств информации типа телефона.</w:t>
      </w:r>
    </w:p>
    <w:p w:rsidR="006167D3" w:rsidRPr="00C6029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в цифровую форму изменяет информацию - она становится из редкости обыденностью. Традиционное различие между распространением информации и интерактивностью сейчас исчезает. Наконец, комбинированное использование текстов, изображений и звуков в интерактивном контексте через мультимедиа приводит в действие часто отличающиеся правовые системы.</w:t>
      </w:r>
    </w:p>
    <w:p w:rsidR="006167D3" w:rsidRPr="00C6029E" w:rsidRDefault="006167D3" w:rsidP="006167D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слияние обязательно затрагивает регулирование различных затронутых секторов и ускоряет процесс принятия законов.</w:t>
      </w:r>
    </w:p>
    <w:p w:rsidR="002455D5" w:rsidRDefault="002455D5">
      <w:bookmarkStart w:id="0" w:name="_GoBack"/>
      <w:bookmarkEnd w:id="0"/>
    </w:p>
    <w:sectPr w:rsidR="002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4"/>
    <w:rsid w:val="002455D5"/>
    <w:rsid w:val="006167D3"/>
    <w:rsid w:val="00B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84DEA-9ED2-4E8D-AB85-A03A0F76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D3"/>
  </w:style>
  <w:style w:type="paragraph" w:styleId="1">
    <w:name w:val="heading 1"/>
    <w:basedOn w:val="a"/>
    <w:next w:val="a"/>
    <w:link w:val="10"/>
    <w:uiPriority w:val="9"/>
    <w:qFormat/>
    <w:rsid w:val="00616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6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6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167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16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167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67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eninka.ru/article/n/promyshlennaya-politika-frantsii-vyzovy-tsifrovyh-tehnolog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3729</Words>
  <Characters>21258</Characters>
  <Application>Microsoft Office Word</Application>
  <DocSecurity>0</DocSecurity>
  <Lines>177</Lines>
  <Paragraphs>49</Paragraphs>
  <ScaleCrop>false</ScaleCrop>
  <Company/>
  <LinksUpToDate>false</LinksUpToDate>
  <CharactersWithSpaces>24938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2022-10-05T13:59:00Z</dcterms:created>
  <dcterms:modified xsi:type="dcterms:W3CDTF">2022-10-05T13:59:00Z</dcterms:modified>
</cp:coreProperties>
</file>